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1F1F" w14:textId="69668807" w:rsidR="00F207F4" w:rsidRDefault="00F207F4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0</w:t>
      </w:r>
      <w:r>
        <w:rPr>
          <w:rFonts w:hint="eastAsia"/>
          <w:szCs w:val="21"/>
        </w:rPr>
        <w:t>歳未満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50</w:t>
      </w:r>
      <w:r>
        <w:rPr>
          <w:rFonts w:hint="eastAsia"/>
          <w:szCs w:val="21"/>
        </w:rPr>
        <w:t>～6</w:t>
      </w:r>
      <w:r>
        <w:rPr>
          <w:szCs w:val="21"/>
        </w:rPr>
        <w:t>4</w:t>
      </w:r>
      <w:r>
        <w:rPr>
          <w:rFonts w:hint="eastAsia"/>
          <w:szCs w:val="21"/>
        </w:rPr>
        <w:t>歳</w:t>
      </w:r>
    </w:p>
    <w:p w14:paraId="55609F4F" w14:textId="012DFD78" w:rsidR="00F207F4" w:rsidRDefault="00F207F4">
      <w:pPr>
        <w:rPr>
          <w:szCs w:val="21"/>
        </w:rPr>
      </w:pPr>
      <w:r w:rsidRPr="00F207F4">
        <w:rPr>
          <w:rFonts w:hint="eastAsia"/>
          <w:noProof/>
        </w:rPr>
        <w:drawing>
          <wp:inline distT="0" distB="0" distL="0" distR="0" wp14:anchorId="2B6C3480" wp14:editId="07D49392">
            <wp:extent cx="4790221" cy="2495504"/>
            <wp:effectExtent l="0" t="0" r="0" b="635"/>
            <wp:docPr id="4724936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221" cy="249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 w:rsidRPr="00F207F4">
        <w:rPr>
          <w:noProof/>
        </w:rPr>
        <w:drawing>
          <wp:inline distT="0" distB="0" distL="0" distR="0" wp14:anchorId="2BD0219D" wp14:editId="1327CCCC">
            <wp:extent cx="4772025" cy="2486025"/>
            <wp:effectExtent l="0" t="0" r="9525" b="9525"/>
            <wp:docPr id="29445219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DB6C5" w14:textId="43E29341" w:rsidR="00F207F4" w:rsidRDefault="00F207F4">
      <w:pPr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>5</w:t>
      </w:r>
      <w:r>
        <w:rPr>
          <w:rFonts w:hint="eastAsia"/>
          <w:szCs w:val="21"/>
        </w:rPr>
        <w:t>～7</w:t>
      </w:r>
      <w:r>
        <w:rPr>
          <w:szCs w:val="21"/>
        </w:rPr>
        <w:t>9</w:t>
      </w:r>
      <w:r>
        <w:rPr>
          <w:rFonts w:hint="eastAsia"/>
          <w:szCs w:val="21"/>
        </w:rPr>
        <w:t>歳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80</w:t>
      </w:r>
      <w:r>
        <w:rPr>
          <w:rFonts w:hint="eastAsia"/>
          <w:szCs w:val="21"/>
        </w:rPr>
        <w:t>歳以上</w:t>
      </w:r>
    </w:p>
    <w:p w14:paraId="2FB1DA5E" w14:textId="562DAEC8" w:rsidR="00F207F4" w:rsidRDefault="00F207F4">
      <w:pPr>
        <w:rPr>
          <w:szCs w:val="21"/>
        </w:rPr>
      </w:pPr>
      <w:r w:rsidRPr="00F207F4">
        <w:rPr>
          <w:rFonts w:hint="eastAsia"/>
          <w:noProof/>
        </w:rPr>
        <w:drawing>
          <wp:inline distT="0" distB="0" distL="0" distR="0" wp14:anchorId="1B9AC511" wp14:editId="45D60169">
            <wp:extent cx="4772025" cy="2486025"/>
            <wp:effectExtent l="0" t="0" r="9525" b="9525"/>
            <wp:docPr id="12427046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7F4">
        <w:rPr>
          <w:rFonts w:hint="eastAsia"/>
          <w:noProof/>
        </w:rPr>
        <w:drawing>
          <wp:inline distT="0" distB="0" distL="0" distR="0" wp14:anchorId="3D1B6D31" wp14:editId="04B95CE7">
            <wp:extent cx="4772025" cy="2486025"/>
            <wp:effectExtent l="0" t="0" r="9525" b="9525"/>
            <wp:docPr id="92510527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D7516" w14:textId="77777777" w:rsidR="00F207F4" w:rsidRPr="00F207F4" w:rsidRDefault="00F207F4" w:rsidP="00F207F4">
      <w:pPr>
        <w:rPr>
          <w:szCs w:val="21"/>
        </w:rPr>
      </w:pPr>
      <w:r w:rsidRPr="00F207F4">
        <w:rPr>
          <w:rFonts w:hint="eastAsia"/>
          <w:szCs w:val="21"/>
        </w:rPr>
        <w:t>★：蛋白尿に加え血尿があれば紹介</w:t>
      </w:r>
    </w:p>
    <w:p w14:paraId="0C4A2980" w14:textId="7F1EDEDA" w:rsidR="00F207F4" w:rsidRPr="00F207F4" w:rsidRDefault="00F207F4" w:rsidP="00F207F4">
      <w:pPr>
        <w:rPr>
          <w:szCs w:val="21"/>
        </w:rPr>
      </w:pPr>
      <w:r w:rsidRPr="00F207F4">
        <w:rPr>
          <w:rFonts w:hint="eastAsia"/>
          <w:szCs w:val="21"/>
        </w:rPr>
        <w:t>※この他に</w:t>
      </w:r>
      <w:r w:rsidR="00CE07C1">
        <w:rPr>
          <w:rFonts w:hint="eastAsia"/>
          <w:szCs w:val="21"/>
        </w:rPr>
        <w:t>①</w:t>
      </w:r>
      <w:r w:rsidRPr="00F207F4">
        <w:rPr>
          <w:szCs w:val="21"/>
        </w:rPr>
        <w:t>3か月以内に30%以上の腎機能低下を認める②GFR低下が年間5mL/min/1.73m2を</w:t>
      </w:r>
      <w:r w:rsidRPr="00F207F4">
        <w:rPr>
          <w:rFonts w:hint="eastAsia"/>
          <w:szCs w:val="21"/>
        </w:rPr>
        <w:t>超える，のいずれかを満たす場合も紹介</w:t>
      </w:r>
    </w:p>
    <w:sectPr w:rsidR="00F207F4" w:rsidRPr="00F207F4" w:rsidSect="009D73D1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A009" w14:textId="77777777" w:rsidR="000B0DD1" w:rsidRDefault="000B0DD1" w:rsidP="000B0DD1">
      <w:r>
        <w:separator/>
      </w:r>
    </w:p>
  </w:endnote>
  <w:endnote w:type="continuationSeparator" w:id="0">
    <w:p w14:paraId="3DAE695C" w14:textId="77777777" w:rsidR="000B0DD1" w:rsidRDefault="000B0DD1" w:rsidP="000B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3EE9" w14:textId="77777777" w:rsidR="000B0DD1" w:rsidRDefault="000B0DD1" w:rsidP="000B0DD1">
      <w:r>
        <w:separator/>
      </w:r>
    </w:p>
  </w:footnote>
  <w:footnote w:type="continuationSeparator" w:id="0">
    <w:p w14:paraId="6C6DF16C" w14:textId="77777777" w:rsidR="000B0DD1" w:rsidRDefault="000B0DD1" w:rsidP="000B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F4"/>
    <w:rsid w:val="000B0DD1"/>
    <w:rsid w:val="009D73D1"/>
    <w:rsid w:val="00CD15F9"/>
    <w:rsid w:val="00CE07C1"/>
    <w:rsid w:val="00F2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08328D"/>
  <w15:chartTrackingRefBased/>
  <w15:docId w15:val="{BE3A1252-1D00-471D-837A-2A3E7059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DD1"/>
  </w:style>
  <w:style w:type="paragraph" w:styleId="a5">
    <w:name w:val="footer"/>
    <w:basedOn w:val="a"/>
    <w:link w:val="a6"/>
    <w:uiPriority w:val="99"/>
    <w:unhideWhenUsed/>
    <w:rsid w:val="000B0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医局</dc:creator>
  <cp:keywords/>
  <dc:description/>
  <cp:lastModifiedBy>医局</cp:lastModifiedBy>
  <cp:revision>3</cp:revision>
  <dcterms:created xsi:type="dcterms:W3CDTF">2024-02-25T01:10:00Z</dcterms:created>
  <dcterms:modified xsi:type="dcterms:W3CDTF">2024-03-25T23:18:00Z</dcterms:modified>
</cp:coreProperties>
</file>